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D3A8" w14:textId="77777777" w:rsidR="000E5A83" w:rsidRDefault="006C024D" w:rsidP="00D8049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</w:pPr>
      <w:bookmarkStart w:id="0" w:name="_GoBack"/>
      <w:bookmarkEnd w:id="0"/>
      <w:r>
        <w:t xml:space="preserve">In </w:t>
      </w:r>
      <w:r>
        <w:rPr>
          <w:spacing w:val="-3"/>
        </w:rPr>
        <w:t xml:space="preserve">2014, </w:t>
      </w:r>
      <w:r>
        <w:t xml:space="preserve">the </w:t>
      </w:r>
      <w:r>
        <w:rPr>
          <w:spacing w:val="-4"/>
        </w:rPr>
        <w:t xml:space="preserve">Queensland Government introduced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Environmental Offsets </w:t>
      </w:r>
      <w:r>
        <w:rPr>
          <w:i/>
          <w:spacing w:val="-3"/>
        </w:rPr>
        <w:t>Act 2014</w:t>
      </w:r>
      <w:r>
        <w:rPr>
          <w:spacing w:val="-3"/>
        </w:rPr>
        <w:t xml:space="preserve">, </w:t>
      </w:r>
      <w:r w:rsidRPr="001B71A3">
        <w:rPr>
          <w:i/>
          <w:spacing w:val="-4"/>
        </w:rPr>
        <w:t xml:space="preserve">Environmental Offsets Regulation </w:t>
      </w:r>
      <w:r w:rsidRPr="001B71A3">
        <w:rPr>
          <w:i/>
          <w:spacing w:val="-3"/>
        </w:rPr>
        <w:t>2014</w:t>
      </w:r>
      <w:r>
        <w:rPr>
          <w:i/>
          <w:spacing w:val="-3"/>
        </w:rPr>
        <w:t xml:space="preserve"> </w:t>
      </w:r>
      <w:r>
        <w:rPr>
          <w:spacing w:val="-3"/>
        </w:rPr>
        <w:t xml:space="preserve">and the </w:t>
      </w:r>
      <w:r>
        <w:rPr>
          <w:spacing w:val="-4"/>
        </w:rPr>
        <w:t xml:space="preserve">Queensland Environmental </w:t>
      </w:r>
      <w:r>
        <w:rPr>
          <w:spacing w:val="-3"/>
        </w:rPr>
        <w:t xml:space="preserve">Offsets </w:t>
      </w:r>
      <w:r>
        <w:rPr>
          <w:spacing w:val="-4"/>
        </w:rPr>
        <w:t xml:space="preserve">Policy </w:t>
      </w:r>
      <w:r>
        <w:rPr>
          <w:spacing w:val="-3"/>
        </w:rPr>
        <w:t>(the Offsets</w:t>
      </w:r>
      <w:r>
        <w:rPr>
          <w:spacing w:val="-7"/>
        </w:rPr>
        <w:t xml:space="preserve"> </w:t>
      </w:r>
      <w:r>
        <w:rPr>
          <w:spacing w:val="-4"/>
        </w:rPr>
        <w:t>Policy).</w:t>
      </w:r>
    </w:p>
    <w:p w14:paraId="11598BBF" w14:textId="77777777" w:rsidR="000E5A83" w:rsidRDefault="006C024D" w:rsidP="00D8049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</w:pPr>
      <w:r>
        <w:rPr>
          <w:spacing w:val="-3"/>
        </w:rPr>
        <w:t xml:space="preserve">The Offsets Policy included </w:t>
      </w:r>
      <w:r>
        <w:t xml:space="preserve">a </w:t>
      </w:r>
      <w:r>
        <w:rPr>
          <w:spacing w:val="-4"/>
        </w:rPr>
        <w:t>commitment,</w:t>
      </w:r>
      <w:r>
        <w:rPr>
          <w:spacing w:val="52"/>
        </w:rPr>
        <w:t xml:space="preserve"> </w:t>
      </w:r>
      <w:r>
        <w:rPr>
          <w:spacing w:val="-4"/>
        </w:rPr>
        <w:t>prescribed</w:t>
      </w:r>
      <w:r>
        <w:rPr>
          <w:spacing w:val="52"/>
        </w:rPr>
        <w:t xml:space="preserve"> </w:t>
      </w:r>
      <w:r>
        <w:t xml:space="preserve">in </w:t>
      </w:r>
      <w:r>
        <w:rPr>
          <w:spacing w:val="-3"/>
        </w:rPr>
        <w:t xml:space="preserve">Chapter </w:t>
      </w:r>
      <w:r>
        <w:t xml:space="preserve">4 </w:t>
      </w:r>
      <w:r>
        <w:rPr>
          <w:spacing w:val="-4"/>
        </w:rPr>
        <w:t>(Review</w:t>
      </w:r>
      <w:r>
        <w:rPr>
          <w:spacing w:val="52"/>
        </w:rPr>
        <w:t xml:space="preserve"> </w:t>
      </w:r>
      <w:r>
        <w:rPr>
          <w:spacing w:val="-4"/>
        </w:rPr>
        <w:t xml:space="preserve">and Amendment), </w:t>
      </w:r>
      <w:r>
        <w:t xml:space="preserve">to </w:t>
      </w:r>
      <w:r>
        <w:rPr>
          <w:spacing w:val="-3"/>
        </w:rPr>
        <w:t xml:space="preserve">evaluate and review the </w:t>
      </w:r>
      <w:r>
        <w:rPr>
          <w:spacing w:val="-4"/>
        </w:rPr>
        <w:t xml:space="preserve">effectiveness </w:t>
      </w:r>
      <w:r>
        <w:t xml:space="preserve">of </w:t>
      </w:r>
      <w:r>
        <w:rPr>
          <w:spacing w:val="-3"/>
        </w:rPr>
        <w:t xml:space="preserve">the Offsets Policy </w:t>
      </w:r>
      <w:r>
        <w:rPr>
          <w:spacing w:val="-4"/>
        </w:rPr>
        <w:t xml:space="preserve">within </w:t>
      </w:r>
      <w:r>
        <w:rPr>
          <w:spacing w:val="-3"/>
        </w:rPr>
        <w:t xml:space="preserve">five years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commencement.</w:t>
      </w:r>
    </w:p>
    <w:p w14:paraId="2A3363A7" w14:textId="77777777" w:rsidR="001B71A3" w:rsidRPr="001B71A3" w:rsidRDefault="006C024D" w:rsidP="00D8049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</w:pPr>
      <w:r w:rsidRPr="00C10F82">
        <w:rPr>
          <w:spacing w:val="-3"/>
        </w:rPr>
        <w:t>The</w:t>
      </w:r>
      <w:r w:rsidRPr="00C10F82">
        <w:rPr>
          <w:spacing w:val="-15"/>
        </w:rPr>
        <w:t xml:space="preserve"> </w:t>
      </w:r>
      <w:r w:rsidRPr="00C10F82">
        <w:rPr>
          <w:spacing w:val="-4"/>
        </w:rPr>
        <w:t>Queensland</w:t>
      </w:r>
      <w:r w:rsidRPr="00C10F82">
        <w:rPr>
          <w:spacing w:val="-15"/>
        </w:rPr>
        <w:t xml:space="preserve"> </w:t>
      </w:r>
      <w:r w:rsidRPr="00C10F82">
        <w:rPr>
          <w:spacing w:val="-4"/>
        </w:rPr>
        <w:t>Government</w:t>
      </w:r>
      <w:r w:rsidRPr="00C10F82">
        <w:rPr>
          <w:spacing w:val="-17"/>
        </w:rPr>
        <w:t xml:space="preserve"> </w:t>
      </w:r>
      <w:r w:rsidRPr="00C10F82">
        <w:rPr>
          <w:spacing w:val="-3"/>
        </w:rPr>
        <w:t>has</w:t>
      </w:r>
      <w:r w:rsidRPr="00C10F82">
        <w:rPr>
          <w:spacing w:val="-16"/>
        </w:rPr>
        <w:t xml:space="preserve"> </w:t>
      </w:r>
      <w:r w:rsidRPr="00C10F82">
        <w:rPr>
          <w:spacing w:val="-4"/>
        </w:rPr>
        <w:t>developed</w:t>
      </w:r>
      <w:r w:rsidRPr="00C10F82">
        <w:rPr>
          <w:spacing w:val="-16"/>
        </w:rPr>
        <w:t xml:space="preserve"> </w:t>
      </w:r>
      <w:r>
        <w:t>a</w:t>
      </w:r>
      <w:r w:rsidRPr="00C10F82">
        <w:rPr>
          <w:spacing w:val="-17"/>
        </w:rPr>
        <w:t xml:space="preserve"> </w:t>
      </w:r>
      <w:r w:rsidRPr="00C10F82">
        <w:rPr>
          <w:spacing w:val="-4"/>
        </w:rPr>
        <w:t>discussion</w:t>
      </w:r>
      <w:r w:rsidRPr="00C10F82">
        <w:rPr>
          <w:spacing w:val="-16"/>
        </w:rPr>
        <w:t xml:space="preserve"> </w:t>
      </w:r>
      <w:r w:rsidRPr="00C10F82">
        <w:rPr>
          <w:spacing w:val="-3"/>
        </w:rPr>
        <w:t>paper</w:t>
      </w:r>
      <w:r w:rsidRPr="00C10F82">
        <w:rPr>
          <w:spacing w:val="-17"/>
        </w:rPr>
        <w:t xml:space="preserve"> </w:t>
      </w:r>
      <w:r w:rsidRPr="00C10F82">
        <w:rPr>
          <w:spacing w:val="-3"/>
        </w:rPr>
        <w:t>titled</w:t>
      </w:r>
      <w:r w:rsidRPr="00C10F82">
        <w:rPr>
          <w:spacing w:val="-17"/>
        </w:rPr>
        <w:t xml:space="preserve"> </w:t>
      </w:r>
      <w:r w:rsidRPr="00C10F82">
        <w:rPr>
          <w:i/>
          <w:spacing w:val="-3"/>
        </w:rPr>
        <w:t>Review</w:t>
      </w:r>
      <w:r w:rsidRPr="00C10F82">
        <w:rPr>
          <w:i/>
          <w:spacing w:val="-16"/>
        </w:rPr>
        <w:t xml:space="preserve"> </w:t>
      </w:r>
      <w:r w:rsidRPr="00C10F82">
        <w:rPr>
          <w:i/>
        </w:rPr>
        <w:t>of</w:t>
      </w:r>
      <w:r w:rsidRPr="00C10F82">
        <w:rPr>
          <w:i/>
          <w:spacing w:val="-15"/>
        </w:rPr>
        <w:t xml:space="preserve"> </w:t>
      </w:r>
      <w:r w:rsidRPr="00C10F82">
        <w:rPr>
          <w:i/>
          <w:spacing w:val="-4"/>
        </w:rPr>
        <w:t>Queensland</w:t>
      </w:r>
      <w:r w:rsidR="00BB1156">
        <w:rPr>
          <w:i/>
          <w:spacing w:val="-4"/>
        </w:rPr>
        <w:t>’s</w:t>
      </w:r>
      <w:r w:rsidRPr="00C10F82">
        <w:rPr>
          <w:i/>
          <w:spacing w:val="-4"/>
        </w:rPr>
        <w:t xml:space="preserve"> Environmental </w:t>
      </w:r>
      <w:r w:rsidRPr="00C10F82">
        <w:rPr>
          <w:i/>
          <w:spacing w:val="-3"/>
        </w:rPr>
        <w:t xml:space="preserve">Offsets </w:t>
      </w:r>
      <w:r w:rsidRPr="00C10F82">
        <w:rPr>
          <w:i/>
          <w:spacing w:val="-4"/>
        </w:rPr>
        <w:t>Framework</w:t>
      </w:r>
      <w:r w:rsidR="00C10F82" w:rsidRPr="00C10F82">
        <w:rPr>
          <w:i/>
          <w:spacing w:val="-4"/>
        </w:rPr>
        <w:t xml:space="preserve">. </w:t>
      </w:r>
      <w:r w:rsidR="00C10F82">
        <w:rPr>
          <w:spacing w:val="-3"/>
        </w:rPr>
        <w:t>T</w:t>
      </w:r>
      <w:r>
        <w:rPr>
          <w:spacing w:val="-3"/>
        </w:rPr>
        <w:t xml:space="preserve">he </w:t>
      </w:r>
      <w:r>
        <w:rPr>
          <w:spacing w:val="-4"/>
        </w:rPr>
        <w:t xml:space="preserve">discussion </w:t>
      </w:r>
      <w:r>
        <w:rPr>
          <w:spacing w:val="-3"/>
        </w:rPr>
        <w:t xml:space="preserve">paper focuses </w:t>
      </w:r>
      <w:r>
        <w:t xml:space="preserve">on </w:t>
      </w:r>
      <w:r>
        <w:rPr>
          <w:spacing w:val="-3"/>
        </w:rPr>
        <w:t xml:space="preserve">five key areas: </w:t>
      </w:r>
    </w:p>
    <w:p w14:paraId="5F90B6E8" w14:textId="77777777" w:rsidR="001B71A3" w:rsidRPr="001B71A3" w:rsidRDefault="006C024D" w:rsidP="00D80495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left="867" w:hanging="357"/>
      </w:pPr>
      <w:r w:rsidRPr="001B71A3">
        <w:rPr>
          <w:spacing w:val="-3"/>
        </w:rPr>
        <w:t xml:space="preserve">Environmental Outcomes; </w:t>
      </w:r>
    </w:p>
    <w:p w14:paraId="355EA7FA" w14:textId="77777777" w:rsidR="001B71A3" w:rsidRPr="001B71A3" w:rsidRDefault="006C024D" w:rsidP="00D80495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left="867" w:hanging="357"/>
      </w:pPr>
      <w:r w:rsidRPr="001B71A3">
        <w:rPr>
          <w:spacing w:val="-4"/>
        </w:rPr>
        <w:t xml:space="preserve">Alignment </w:t>
      </w:r>
      <w:r w:rsidRPr="001B71A3">
        <w:rPr>
          <w:spacing w:val="-3"/>
        </w:rPr>
        <w:t xml:space="preserve">with best practice; </w:t>
      </w:r>
    </w:p>
    <w:p w14:paraId="56EEE84C" w14:textId="77777777" w:rsidR="001B71A3" w:rsidRPr="001B71A3" w:rsidRDefault="006C024D" w:rsidP="00D80495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left="867" w:hanging="357"/>
      </w:pPr>
      <w:r w:rsidRPr="001B71A3">
        <w:rPr>
          <w:spacing w:val="-3"/>
        </w:rPr>
        <w:t xml:space="preserve">How </w:t>
      </w:r>
      <w:r>
        <w:t xml:space="preserve">we </w:t>
      </w:r>
      <w:r w:rsidRPr="001B71A3">
        <w:rPr>
          <w:spacing w:val="-3"/>
        </w:rPr>
        <w:t xml:space="preserve">measure offsets; </w:t>
      </w:r>
    </w:p>
    <w:p w14:paraId="480FB05A" w14:textId="77777777" w:rsidR="001B71A3" w:rsidRPr="001B71A3" w:rsidRDefault="006C024D" w:rsidP="00D80495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left="867" w:hanging="357"/>
      </w:pPr>
      <w:r w:rsidRPr="001B71A3">
        <w:rPr>
          <w:spacing w:val="-3"/>
        </w:rPr>
        <w:t xml:space="preserve">Security and </w:t>
      </w:r>
      <w:r w:rsidRPr="001B71A3">
        <w:rPr>
          <w:spacing w:val="-4"/>
        </w:rPr>
        <w:t xml:space="preserve">transparency; </w:t>
      </w:r>
      <w:r w:rsidRPr="001B71A3">
        <w:rPr>
          <w:spacing w:val="-3"/>
        </w:rPr>
        <w:t xml:space="preserve">and </w:t>
      </w:r>
    </w:p>
    <w:p w14:paraId="0AA8E434" w14:textId="26528D9E" w:rsidR="000E5A83" w:rsidRDefault="006C024D" w:rsidP="00D80495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left="867" w:hanging="357"/>
      </w:pPr>
      <w:r w:rsidRPr="001B71A3">
        <w:rPr>
          <w:spacing w:val="-3"/>
        </w:rPr>
        <w:t>Offset</w:t>
      </w:r>
      <w:r w:rsidRPr="001B71A3">
        <w:rPr>
          <w:spacing w:val="-32"/>
        </w:rPr>
        <w:t xml:space="preserve"> </w:t>
      </w:r>
      <w:r w:rsidRPr="001B71A3">
        <w:rPr>
          <w:spacing w:val="-4"/>
        </w:rPr>
        <w:t>opportunities.</w:t>
      </w:r>
    </w:p>
    <w:p w14:paraId="27357190" w14:textId="5088C828" w:rsidR="000E5A83" w:rsidRDefault="006C024D" w:rsidP="00D8049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</w:pPr>
      <w:r>
        <w:rPr>
          <w:u w:val="single"/>
        </w:rPr>
        <w:t>Cabinet</w:t>
      </w:r>
      <w:r>
        <w:rPr>
          <w:spacing w:val="-11"/>
          <w:u w:val="single"/>
        </w:rPr>
        <w:t xml:space="preserve"> </w:t>
      </w:r>
      <w:r>
        <w:rPr>
          <w:u w:val="single"/>
        </w:rPr>
        <w:t>approved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release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discussion</w:t>
      </w:r>
      <w:r>
        <w:rPr>
          <w:spacing w:val="-11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titled</w:t>
      </w:r>
      <w:r>
        <w:rPr>
          <w:spacing w:val="-11"/>
        </w:rPr>
        <w:t xml:space="preserve"> </w:t>
      </w:r>
      <w:r>
        <w:rPr>
          <w:i/>
        </w:rPr>
        <w:t>Review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Queensland’s Environm</w:t>
      </w:r>
      <w:r w:rsidRPr="001B71A3">
        <w:rPr>
          <w:i/>
        </w:rPr>
        <w:t xml:space="preserve">ental Offsets Framework </w:t>
      </w:r>
      <w:r>
        <w:t>for public</w:t>
      </w:r>
      <w:r w:rsidRPr="001B71A3">
        <w:rPr>
          <w:spacing w:val="-13"/>
        </w:rPr>
        <w:t xml:space="preserve"> </w:t>
      </w:r>
      <w:r>
        <w:t>consultation.</w:t>
      </w:r>
    </w:p>
    <w:p w14:paraId="1DFDE7D8" w14:textId="77777777" w:rsidR="000E5A83" w:rsidRDefault="006C024D" w:rsidP="00BA2D95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426"/>
        <w:rPr>
          <w:i/>
        </w:rPr>
      </w:pPr>
      <w:r>
        <w:rPr>
          <w:i/>
          <w:u w:val="single"/>
        </w:rPr>
        <w:t>Attachments</w:t>
      </w:r>
    </w:p>
    <w:p w14:paraId="30B40E2E" w14:textId="4353CDA8" w:rsidR="000E5A83" w:rsidRPr="00D80495" w:rsidRDefault="008A07A0" w:rsidP="00BA2D95">
      <w:pPr>
        <w:pStyle w:val="ListParagraph"/>
        <w:numPr>
          <w:ilvl w:val="1"/>
          <w:numId w:val="1"/>
        </w:numPr>
        <w:tabs>
          <w:tab w:val="left" w:pos="913"/>
        </w:tabs>
        <w:spacing w:before="120"/>
        <w:ind w:left="426" w:right="3" w:firstLine="0"/>
        <w:jc w:val="left"/>
        <w:rPr>
          <w:rStyle w:val="Hyperlink"/>
          <w:i/>
          <w:color w:val="auto"/>
          <w:u w:val="none"/>
        </w:rPr>
      </w:pPr>
      <w:hyperlink r:id="rId10" w:history="1">
        <w:r w:rsidR="006C024D" w:rsidRPr="003102D7">
          <w:rPr>
            <w:rStyle w:val="Hyperlink"/>
          </w:rPr>
          <w:t xml:space="preserve">Discussion Paper: </w:t>
        </w:r>
        <w:r w:rsidR="006C024D" w:rsidRPr="003102D7">
          <w:rPr>
            <w:rStyle w:val="Hyperlink"/>
            <w:i/>
          </w:rPr>
          <w:t>Review of Queensland’s Environmental Offsets</w:t>
        </w:r>
        <w:r w:rsidR="006C024D" w:rsidRPr="003102D7">
          <w:rPr>
            <w:rStyle w:val="Hyperlink"/>
            <w:i/>
            <w:spacing w:val="-15"/>
          </w:rPr>
          <w:t xml:space="preserve"> </w:t>
        </w:r>
        <w:r w:rsidR="006C024D" w:rsidRPr="003102D7">
          <w:rPr>
            <w:rStyle w:val="Hyperlink"/>
            <w:i/>
          </w:rPr>
          <w:t>Framework</w:t>
        </w:r>
      </w:hyperlink>
    </w:p>
    <w:sectPr w:rsidR="000E5A83" w:rsidRPr="00D80495" w:rsidSect="001B71A3">
      <w:headerReference w:type="default" r:id="rId11"/>
      <w:pgSz w:w="11910" w:h="16840" w:code="9"/>
      <w:pgMar w:top="1134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DBB7" w14:textId="77777777" w:rsidR="000129CB" w:rsidRDefault="000129CB" w:rsidP="0009145E">
      <w:r>
        <w:separator/>
      </w:r>
    </w:p>
  </w:endnote>
  <w:endnote w:type="continuationSeparator" w:id="0">
    <w:p w14:paraId="2D7AA2EE" w14:textId="77777777" w:rsidR="000129CB" w:rsidRDefault="000129CB" w:rsidP="000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AF89" w14:textId="77777777" w:rsidR="000129CB" w:rsidRDefault="000129CB" w:rsidP="0009145E">
      <w:r>
        <w:separator/>
      </w:r>
    </w:p>
  </w:footnote>
  <w:footnote w:type="continuationSeparator" w:id="0">
    <w:p w14:paraId="2A0387A9" w14:textId="77777777" w:rsidR="000129CB" w:rsidRDefault="000129CB" w:rsidP="0009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D0C" w14:textId="77777777" w:rsidR="0009145E" w:rsidRPr="00937A4A" w:rsidRDefault="0009145E" w:rsidP="0009145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D1BDB0D" w14:textId="77777777" w:rsidR="0009145E" w:rsidRPr="00937A4A" w:rsidRDefault="0009145E" w:rsidP="0009145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0AF4337" w14:textId="77777777" w:rsidR="0009145E" w:rsidRPr="00937A4A" w:rsidRDefault="0009145E" w:rsidP="0009145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>Cabinet –</w:t>
    </w:r>
    <w:r w:rsidR="00BB1156">
      <w:rPr>
        <w:b/>
      </w:rPr>
      <w:t xml:space="preserve"> </w:t>
    </w:r>
    <w:r w:rsidR="001C58E1">
      <w:rPr>
        <w:b/>
      </w:rPr>
      <w:t>Febr</w:t>
    </w:r>
    <w:r w:rsidR="009F6BD5">
      <w:rPr>
        <w:b/>
      </w:rPr>
      <w:t xml:space="preserve">uary </w:t>
    </w:r>
    <w:r>
      <w:rPr>
        <w:b/>
      </w:rPr>
      <w:t>201</w:t>
    </w:r>
    <w:r w:rsidR="009F6BD5">
      <w:rPr>
        <w:b/>
      </w:rPr>
      <w:t>9</w:t>
    </w:r>
  </w:p>
  <w:p w14:paraId="5EB23F04" w14:textId="77777777" w:rsidR="0009145E" w:rsidRDefault="0009145E" w:rsidP="0009145E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Discussion Paper – </w:t>
    </w:r>
    <w:r w:rsidRPr="0009145E">
      <w:rPr>
        <w:b/>
        <w:i/>
        <w:u w:val="single"/>
      </w:rPr>
      <w:t>Review of Queensland</w:t>
    </w:r>
    <w:r w:rsidR="00BB1156">
      <w:rPr>
        <w:b/>
        <w:i/>
        <w:u w:val="single"/>
      </w:rPr>
      <w:t>’s</w:t>
    </w:r>
    <w:r w:rsidRPr="0009145E">
      <w:rPr>
        <w:b/>
        <w:i/>
        <w:u w:val="single"/>
      </w:rPr>
      <w:t xml:space="preserve"> Environmental Offsets Framework</w:t>
    </w:r>
  </w:p>
  <w:p w14:paraId="77285278" w14:textId="77777777" w:rsidR="0009145E" w:rsidRDefault="0009145E" w:rsidP="0009145E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the Great Barrier Reef, Minister for Science and Minister for the Arts</w:t>
    </w:r>
  </w:p>
  <w:p w14:paraId="60F0BEFA" w14:textId="77777777" w:rsidR="0009145E" w:rsidRDefault="0009145E" w:rsidP="0009145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2B6"/>
    <w:multiLevelType w:val="hybridMultilevel"/>
    <w:tmpl w:val="12EC4994"/>
    <w:lvl w:ilvl="0" w:tplc="14B4B8D6">
      <w:start w:val="1"/>
      <w:numFmt w:val="decimal"/>
      <w:lvlText w:val="%1."/>
      <w:lvlJc w:val="left"/>
      <w:pPr>
        <w:ind w:left="704" w:hanging="361"/>
      </w:pPr>
      <w:rPr>
        <w:rFonts w:ascii="Arial" w:eastAsia="Arial" w:hAnsi="Arial" w:cs="Arial" w:hint="default"/>
        <w:b w:val="0"/>
        <w:i w:val="0"/>
        <w:spacing w:val="-4"/>
        <w:w w:val="99"/>
        <w:sz w:val="22"/>
        <w:szCs w:val="22"/>
      </w:rPr>
    </w:lvl>
    <w:lvl w:ilvl="1" w:tplc="80908974">
      <w:numFmt w:val="bullet"/>
      <w:lvlText w:val=""/>
      <w:lvlJc w:val="left"/>
      <w:pPr>
        <w:ind w:left="912" w:hanging="21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8C3AFCAE">
      <w:numFmt w:val="bullet"/>
      <w:lvlText w:val="•"/>
      <w:lvlJc w:val="left"/>
      <w:pPr>
        <w:ind w:left="1900" w:hanging="210"/>
      </w:pPr>
      <w:rPr>
        <w:rFonts w:hint="default"/>
      </w:rPr>
    </w:lvl>
    <w:lvl w:ilvl="3" w:tplc="26806AFC">
      <w:numFmt w:val="bullet"/>
      <w:lvlText w:val="•"/>
      <w:lvlJc w:val="left"/>
      <w:pPr>
        <w:ind w:left="2880" w:hanging="210"/>
      </w:pPr>
      <w:rPr>
        <w:rFonts w:hint="default"/>
      </w:rPr>
    </w:lvl>
    <w:lvl w:ilvl="4" w:tplc="9C62D44E">
      <w:numFmt w:val="bullet"/>
      <w:lvlText w:val="•"/>
      <w:lvlJc w:val="left"/>
      <w:pPr>
        <w:ind w:left="3861" w:hanging="210"/>
      </w:pPr>
      <w:rPr>
        <w:rFonts w:hint="default"/>
      </w:rPr>
    </w:lvl>
    <w:lvl w:ilvl="5" w:tplc="4FA4A134">
      <w:numFmt w:val="bullet"/>
      <w:lvlText w:val="•"/>
      <w:lvlJc w:val="left"/>
      <w:pPr>
        <w:ind w:left="4841" w:hanging="210"/>
      </w:pPr>
      <w:rPr>
        <w:rFonts w:hint="default"/>
      </w:rPr>
    </w:lvl>
    <w:lvl w:ilvl="6" w:tplc="D4208414">
      <w:numFmt w:val="bullet"/>
      <w:lvlText w:val="•"/>
      <w:lvlJc w:val="left"/>
      <w:pPr>
        <w:ind w:left="5822" w:hanging="210"/>
      </w:pPr>
      <w:rPr>
        <w:rFonts w:hint="default"/>
      </w:rPr>
    </w:lvl>
    <w:lvl w:ilvl="7" w:tplc="8CE0D1AA">
      <w:numFmt w:val="bullet"/>
      <w:lvlText w:val="•"/>
      <w:lvlJc w:val="left"/>
      <w:pPr>
        <w:ind w:left="6802" w:hanging="210"/>
      </w:pPr>
      <w:rPr>
        <w:rFonts w:hint="default"/>
      </w:rPr>
    </w:lvl>
    <w:lvl w:ilvl="8" w:tplc="E5768102">
      <w:numFmt w:val="bullet"/>
      <w:lvlText w:val="•"/>
      <w:lvlJc w:val="left"/>
      <w:pPr>
        <w:ind w:left="7783" w:hanging="210"/>
      </w:pPr>
      <w:rPr>
        <w:rFonts w:hint="default"/>
      </w:rPr>
    </w:lvl>
  </w:abstractNum>
  <w:abstractNum w:abstractNumId="1" w15:restartNumberingAfterBreak="0">
    <w:nsid w:val="345C6AC7"/>
    <w:multiLevelType w:val="hybridMultilevel"/>
    <w:tmpl w:val="5D143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83"/>
    <w:rsid w:val="000129CB"/>
    <w:rsid w:val="000902E6"/>
    <w:rsid w:val="0009145E"/>
    <w:rsid w:val="000D19E8"/>
    <w:rsid w:val="000E5A83"/>
    <w:rsid w:val="001B71A3"/>
    <w:rsid w:val="001C58E1"/>
    <w:rsid w:val="002221D3"/>
    <w:rsid w:val="003102D7"/>
    <w:rsid w:val="003767E9"/>
    <w:rsid w:val="004C74A9"/>
    <w:rsid w:val="006C024D"/>
    <w:rsid w:val="00867D77"/>
    <w:rsid w:val="008A07A0"/>
    <w:rsid w:val="00911F74"/>
    <w:rsid w:val="009F6BD5"/>
    <w:rsid w:val="00B94361"/>
    <w:rsid w:val="00BA2D95"/>
    <w:rsid w:val="00BB1156"/>
    <w:rsid w:val="00C10F82"/>
    <w:rsid w:val="00CB5936"/>
    <w:rsid w:val="00D35AEB"/>
    <w:rsid w:val="00D80495"/>
    <w:rsid w:val="00E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1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796" w:right="85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1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4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1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45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8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1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BFF52-BE8A-4A95-B696-74711644E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7E7C8-4D67-4AA3-8166-AD94107DE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CF418-1E6C-4350-8F44-FE19D0C7A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808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Offsets Att 5</vt:lpstr>
    </vt:vector>
  </TitlesOfParts>
  <Company/>
  <LinksUpToDate>false</LinksUpToDate>
  <CharactersWithSpaces>932</CharactersWithSpaces>
  <SharedDoc>false</SharedDoc>
  <HyperlinkBase>https://www.cabinet.qld.gov.au/documents/2019/Feb/OffRev/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Offsets Att 5</dc:title>
  <dc:creator/>
  <cp:lastModifiedBy/>
  <cp:revision>16</cp:revision>
  <cp:lastPrinted>2018-12-17T06:14:00Z</cp:lastPrinted>
  <dcterms:created xsi:type="dcterms:W3CDTF">2018-10-05T03:16:00Z</dcterms:created>
  <dcterms:modified xsi:type="dcterms:W3CDTF">2019-12-11T09:19:00Z</dcterms:modified>
  <cp:category>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2018-10-04T00:00:00Z</vt:filetime>
  </property>
  <property fmtid="{D5CDD505-2E9C-101B-9397-08002B2CF9AE}" pid="5" name="ContentTypeId">
    <vt:lpwstr>0x010100DDE14CFDD070B24F85F5DE43654FF01E</vt:lpwstr>
  </property>
</Properties>
</file>